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Georgia" w:cs="Georgia" w:eastAsia="Georgia" w:hAnsi="Georgia"/>
          <w:b/>
          <w:bCs/>
          <w:color w:val="0A1F3D"/>
          <w:sz w:val="44"/>
          <w:szCs w:val="44"/>
        </w:rPr>
        <w:t xml:space="preserve">RUBENS CAMPOS SILVESTRE ALVES</w:t>
      </w:r>
    </w:p>
    <w:p>
      <w:pPr>
        <w:spacing w:after="100"/>
      </w:pPr>
      <w:r>
        <w:rPr>
          <w:rFonts w:ascii="Calibri" w:cs="Calibri" w:eastAsia="Calibri" w:hAnsi="Calibri"/>
          <w:color w:val="262626"/>
          <w:sz w:val="22"/>
          <w:szCs w:val="22"/>
        </w:rPr>
        <w:t xml:space="preserve">Médico Veterinário | Gestão Hospitalar | Tecnologia | Desenvolvimento de Negócios no Mercado Pet</w:t>
      </w:r>
    </w:p>
    <w:p>
      <w:pPr>
        <w:pBdr>
          <w:bottom w:val="single" w:color="0A1F3D" w:sz="10" w:space="8"/>
        </w:pBdr>
        <w:spacing w:after="190"/>
      </w:pPr>
      <w:r>
        <w:rPr>
          <w:rFonts w:ascii="Calibri" w:cs="Calibri" w:eastAsia="Calibri" w:hAnsi="Calibri"/>
          <w:color w:val="6B6B6B"/>
          <w:sz w:val="18"/>
          <w:szCs w:val="18"/>
        </w:rPr>
        <w:t xml:space="preserve">São Paulo, SP  ·  (11) 91601-5666  ·  mvrubensalves@gmail.com  ·  linkedin.com/in/rubens-campos-silvestre-alves</w:t>
      </w:r>
    </w:p>
    <w:p>
      <w:pPr>
        <w:pBdr>
          <w:bottom w:val="single" w:color="0A1F3D" w:sz="6" w:space="4"/>
        </w:pBdr>
        <w:spacing w:after="70" w:before="150"/>
      </w:pPr>
      <w:r>
        <w:rPr>
          <w:rFonts w:ascii="Calibri" w:cs="Calibri" w:eastAsia="Calibri" w:hAnsi="Calibri"/>
          <w:b/>
          <w:bCs/>
          <w:color w:val="0A1F3D"/>
          <w:spacing w:val="20"/>
          <w:sz w:val="20"/>
          <w:szCs w:val="20"/>
        </w:rPr>
        <w:t xml:space="preserve">PERFIL PROFISSIONAL</w:t>
      </w:r>
    </w:p>
    <w:p>
      <w:pPr>
        <w:spacing w:after="40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Médico-veterinário com formação clínica em hospitais veterinários de alta complexidade — urgência, emergência e internação — e atuação consolidada em gestão, tecnologia e desenvolvimento de negócios para o mercado pet. Une domínio da rotina hospitalar a uma abordagem analítica e orientada a resultados, validada por soluções de gestão implantadas em clínicas e hospitais veterinários. Busca contribuir para o fortalecimento do setor por meio da integração entre conhecimento técnico, inovação e eficiência operacional.</w:t>
      </w:r>
    </w:p>
    <w:p>
      <w:pPr>
        <w:pBdr>
          <w:bottom w:val="single" w:color="0A1F3D" w:sz="6" w:space="4"/>
        </w:pBdr>
        <w:spacing w:after="70" w:before="150"/>
      </w:pPr>
      <w:r>
        <w:rPr>
          <w:rFonts w:ascii="Calibri" w:cs="Calibri" w:eastAsia="Calibri" w:hAnsi="Calibri"/>
          <w:b/>
          <w:bCs/>
          <w:color w:val="0A1F3D"/>
          <w:spacing w:val="20"/>
          <w:sz w:val="20"/>
          <w:szCs w:val="20"/>
        </w:rPr>
        <w:t xml:space="preserve">ÁREAS DE ATUAÇÃO</w:t>
      </w:r>
    </w:p>
    <w:tbl>
      <w:tblPr>
        <w:tblW w:type="dxa" w:w="107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353"/>
        <w:gridCol w:w="5353"/>
      </w:tblGrid>
      <w:tr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Clínica Médica de Pequenos Animais</w:t>
            </w:r>
          </w:p>
        </w:tc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Gestão Hospitalar Veterinária</w:t>
            </w:r>
          </w:p>
        </w:tc>
      </w:tr>
      <w:tr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Internação</w:t>
            </w:r>
          </w:p>
        </w:tc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Tecnologia para o Mercado Pet</w:t>
            </w:r>
          </w:p>
        </w:tc>
      </w:tr>
      <w:tr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Urgência e Emergência</w:t>
            </w:r>
          </w:p>
        </w:tc>
        <w:tc>
          <w:tcPr>
            <w:tcW w:type="dxa" w:w="5353"/>
            <w:tcBorders>
              <w:top w:val="none"/>
              <w:left w:val="none"/>
              <w:bottom w:val="none"/>
              <w:right w:val="none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A1F3D"/>
                <w:sz w:val="18"/>
                <w:szCs w:val="18"/>
              </w:rPr>
              <w:t xml:space="preserve">▪ 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Desenvolvimento de Negócios</w:t>
            </w:r>
          </w:p>
        </w:tc>
      </w:tr>
    </w:tbl>
    <w:p>
      <w:pPr>
        <w:spacing w:after="25"/>
      </w:pPr>
    </w:p>
    <w:p>
      <w:pPr>
        <w:pBdr>
          <w:bottom w:val="single" w:color="0A1F3D" w:sz="6" w:space="4"/>
        </w:pBdr>
        <w:spacing w:after="70" w:before="150"/>
      </w:pPr>
      <w:r>
        <w:rPr>
          <w:rFonts w:ascii="Calibri" w:cs="Calibri" w:eastAsia="Calibri" w:hAnsi="Calibri"/>
          <w:b/>
          <w:bCs/>
          <w:color w:val="0A1F3D"/>
          <w:spacing w:val="20"/>
          <w:sz w:val="20"/>
          <w:szCs w:val="20"/>
        </w:rPr>
        <w:t xml:space="preserve">EXPERIÊNCIA PROFISSIONAL</w:t>
      </w:r>
    </w:p>
    <w:p>
      <w:pPr>
        <w:tabs>
          <w:tab w:val="right" w:pos="10706"/>
        </w:tabs>
        <w:spacing w:after="20"/>
      </w:pPr>
      <w:r>
        <w:rPr>
          <w:rFonts w:ascii="Calibri" w:cs="Calibri" w:eastAsia="Calibri" w:hAnsi="Calibri"/>
          <w:b/>
          <w:bCs/>
          <w:color w:val="0A1F3D"/>
          <w:sz w:val="22"/>
          <w:szCs w:val="22"/>
        </w:rPr>
        <w:t xml:space="preserve">DVJPet — São Paulo, SP</w:t>
      </w:r>
      <w:r>
        <w:rPr>
          <w:rFonts w:ascii="Calibri" w:cs="Calibri" w:eastAsia="Calibri" w:hAnsi="Calibri"/>
          <w:color w:val="6B6B6B"/>
          <w:sz w:val="18"/>
          <w:szCs w:val="18"/>
        </w:rPr>
        <w:t xml:space="preserve">	Fev. 2026 – Atual</w:t>
      </w:r>
    </w:p>
    <w:p>
      <w:pPr>
        <w:spacing w:after="55"/>
      </w:pPr>
      <w:r>
        <w:rPr>
          <w:rFonts w:ascii="Calibri" w:cs="Calibri" w:eastAsia="Calibri" w:hAnsi="Calibri"/>
          <w:i/>
          <w:iCs/>
          <w:color w:val="262626"/>
          <w:sz w:val="20"/>
          <w:szCs w:val="20"/>
        </w:rPr>
        <w:t xml:space="preserve">Consultor Comercial B2B (Account Executive)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Vendas consultivas de soluções SaaS/PDV para clínicas, petshops e hospitais veterinários, com diagnóstico do negócio do cliente antes da proposta — venda orientada a valor, não a funcionalidade.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Primeira venda fechada em 7 dias a partir do primeiro contato; R$ 5.150+ em implantações fechadas e R$ 618/mês em receita recorrente (MRR) gerados em cerca de cinco meses de atuação.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Estruturou, por iniciativa própria, um agente de IA no WhatsApp Business API para qualificação automática de leads — eliminando ~33h/mês de trabalho manual da SDR e gerando R$ 8.400+/ano em valor operacional, sem custo adicional para a empresa.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Realizou a primeira venda do estado de Santa Catarina sem homologação prévia do sistema, abrindo novo mercado geográfico para a empresa.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Expandiu o contrato de um cliente ativo em 60 dias (módulo adicional), elevando o valor da conta em +67%.</w:t>
      </w:r>
    </w:p>
    <w:p>
      <w:pPr>
        <w:tabs>
          <w:tab w:val="right" w:pos="10706"/>
        </w:tabs>
        <w:spacing w:after="20"/>
      </w:pPr>
      <w:r>
        <w:rPr>
          <w:rFonts w:ascii="Calibri" w:cs="Calibri" w:eastAsia="Calibri" w:hAnsi="Calibri"/>
          <w:b/>
          <w:bCs/>
          <w:color w:val="0A1F3D"/>
          <w:sz w:val="22"/>
          <w:szCs w:val="22"/>
        </w:rPr>
        <w:t xml:space="preserve">Experiência Clínica — Hospitais Veterinários de Alta Complexidade</w:t>
      </w:r>
      <w:r>
        <w:rPr>
          <w:rFonts w:ascii="Calibri" w:cs="Calibri" w:eastAsia="Calibri" w:hAnsi="Calibri"/>
          <w:color w:val="6B6B6B"/>
          <w:sz w:val="18"/>
          <w:szCs w:val="18"/>
        </w:rPr>
        <w:t xml:space="preserve">	2022 – 2025</w:t>
      </w:r>
    </w:p>
    <w:p>
      <w:pPr>
        <w:spacing w:after="55"/>
      </w:pPr>
      <w:r>
        <w:rPr>
          <w:rFonts w:ascii="Calibri" w:cs="Calibri" w:eastAsia="Calibri" w:hAnsi="Calibri"/>
          <w:i/>
          <w:iCs/>
          <w:color w:val="262626"/>
          <w:sz w:val="20"/>
          <w:szCs w:val="20"/>
        </w:rPr>
        <w:t xml:space="preserve">São Paulo, SP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b/>
          <w:bCs/>
          <w:color w:val="262626"/>
          <w:sz w:val="20"/>
          <w:szCs w:val="20"/>
        </w:rPr>
        <w:t xml:space="preserve">+Pet Hospital Veterinário 24h</w:t>
      </w:r>
      <w:r>
        <w:rPr>
          <w:rFonts w:ascii="Calibri" w:cs="Calibri" w:eastAsia="Calibri" w:hAnsi="Calibri"/>
          <w:color w:val="262626"/>
          <w:sz w:val="20"/>
          <w:szCs w:val="20"/>
        </w:rPr>
        <w:t xml:space="preserve"> — Médico Veterinário Clínico e Internação (Fev.–Ago. 2025)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b/>
          <w:bCs/>
          <w:color w:val="262626"/>
          <w:sz w:val="20"/>
          <w:szCs w:val="20"/>
        </w:rPr>
        <w:t xml:space="preserve">WeVets Hospital Veterinário 24h</w:t>
      </w:r>
      <w:r>
        <w:rPr>
          <w:rFonts w:ascii="Calibri" w:cs="Calibri" w:eastAsia="Calibri" w:hAnsi="Calibri"/>
          <w:color w:val="262626"/>
          <w:sz w:val="20"/>
          <w:szCs w:val="20"/>
        </w:rPr>
        <w:t xml:space="preserve"> — Médico Veterinário Clínico e Internação (Abr.–Jul. 2024)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b/>
          <w:bCs/>
          <w:color w:val="262626"/>
          <w:sz w:val="20"/>
          <w:szCs w:val="20"/>
        </w:rPr>
        <w:t xml:space="preserve">DG Prevent Pet – Hospital Veterinário 24h</w:t>
      </w:r>
      <w:r>
        <w:rPr>
          <w:rFonts w:ascii="Calibri" w:cs="Calibri" w:eastAsia="Calibri" w:hAnsi="Calibri"/>
          <w:color w:val="262626"/>
          <w:sz w:val="20"/>
          <w:szCs w:val="20"/>
        </w:rPr>
        <w:t xml:space="preserve"> — Médico Veterinário Plantonista Noturno (Fev.–Out. 2023)</w:t>
      </w:r>
    </w:p>
    <w:p>
      <w:pPr>
        <w:pStyle w:val="ListParagraph"/>
        <w:numPr>
          <w:ilvl w:val="0"/>
          <w:numId w:val="2"/>
        </w:numPr>
        <w:spacing w:after="70"/>
        <w:jc w:val="both"/>
      </w:pPr>
      <w:r>
        <w:rPr>
          <w:rFonts w:ascii="Calibri" w:cs="Calibri" w:eastAsia="Calibri" w:hAnsi="Calibri"/>
          <w:b/>
          <w:bCs/>
          <w:color w:val="262626"/>
          <w:sz w:val="20"/>
          <w:szCs w:val="20"/>
        </w:rPr>
        <w:t xml:space="preserve">Amah Vet Clínica Veterinária</w:t>
      </w:r>
      <w:r>
        <w:rPr>
          <w:rFonts w:ascii="Calibri" w:cs="Calibri" w:eastAsia="Calibri" w:hAnsi="Calibri"/>
          <w:color w:val="262626"/>
          <w:sz w:val="20"/>
          <w:szCs w:val="20"/>
        </w:rPr>
        <w:t xml:space="preserve"> — Médico Veterinário Plantonista (Out. 2022–Fev. 2023)</w:t>
      </w:r>
    </w:p>
    <w:p>
      <w:pPr>
        <w:spacing w:after="110"/>
        <w:jc w:val="both"/>
      </w:pPr>
      <w:r>
        <w:rPr>
          <w:rFonts w:ascii="Calibri" w:cs="Calibri" w:eastAsia="Calibri" w:hAnsi="Calibri"/>
          <w:i/>
          <w:iCs/>
          <w:color w:val="6B6B6B"/>
          <w:sz w:val="19"/>
          <w:szCs w:val="19"/>
        </w:rPr>
        <w:t xml:space="preserve">Diagnóstico clínico, procedimentos de urgência/emergência e internação em quatro hospitais e clínicas de alta complexidade — base da credibilidade técnica aplicada hoje à gestão e ao desenvolvimento de negócios no setor veterinário.</w:t>
      </w:r>
    </w:p>
    <w:p>
      <w:pPr>
        <w:pBdr>
          <w:bottom w:val="single" w:color="0A1F3D" w:sz="6" w:space="4"/>
        </w:pBdr>
        <w:spacing w:after="70" w:before="150"/>
      </w:pPr>
      <w:r>
        <w:rPr>
          <w:rFonts w:ascii="Calibri" w:cs="Calibri" w:eastAsia="Calibri" w:hAnsi="Calibri"/>
          <w:b/>
          <w:bCs/>
          <w:color w:val="0A1F3D"/>
          <w:spacing w:val="20"/>
          <w:sz w:val="20"/>
          <w:szCs w:val="20"/>
        </w:rPr>
        <w:t xml:space="preserve">FORMAÇÃO ACADÊMICA &amp; CREDENCIAIS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Pós-graduação em Inteligência Artificial Aplicada ao Marketing Digital — Faculdade Focus (em andamento)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Pós-graduação em Gestão Hospitalar Veterinária — Abr. 2024 – Abr. 2025</w:t>
      </w:r>
    </w:p>
    <w:p>
      <w:pPr>
        <w:pStyle w:val="ListParagraph"/>
        <w:numPr>
          <w:ilvl w:val="0"/>
          <w:numId w:val="2"/>
        </w:numPr>
        <w:spacing w:after="42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Graduação em Medicina Veterinária — Centro Universitário de Rio Preto (UNIRP) — Fev. 2017 – Dez. 2021</w:t>
      </w:r>
    </w:p>
    <w:p>
      <w:pPr>
        <w:pStyle w:val="ListParagraph"/>
        <w:numPr>
          <w:ilvl w:val="0"/>
          <w:numId w:val="2"/>
        </w:numPr>
        <w:spacing w:after="140"/>
        <w:jc w:val="both"/>
      </w:pPr>
      <w:r>
        <w:rPr>
          <w:rFonts w:ascii="Calibri" w:cs="Calibri" w:eastAsia="Calibri" w:hAnsi="Calibri"/>
          <w:color w:val="262626"/>
          <w:sz w:val="20"/>
          <w:szCs w:val="20"/>
        </w:rPr>
        <w:t xml:space="preserve">CRMV-SP 57.302 — Registro ativo</w:t>
      </w:r>
    </w:p>
    <w:p>
      <w:pPr>
        <w:pBdr>
          <w:bottom w:val="single" w:color="0A1F3D" w:sz="6" w:space="4"/>
        </w:pBdr>
        <w:spacing w:after="70" w:before="150"/>
      </w:pPr>
      <w:r>
        <w:rPr>
          <w:rFonts w:ascii="Calibri" w:cs="Calibri" w:eastAsia="Calibri" w:hAnsi="Calibri"/>
          <w:b/>
          <w:bCs/>
          <w:color w:val="0A1F3D"/>
          <w:spacing w:val="20"/>
          <w:sz w:val="20"/>
          <w:szCs w:val="20"/>
        </w:rPr>
        <w:t xml:space="preserve">PERFIL COMPORTAMENTAL</w:t>
      </w:r>
    </w:p>
    <w:p>
      <w:pPr>
        <w:tabs>
          <w:tab w:val="right" w:pos="5000"/>
        </w:tabs>
        <w:spacing w:after="25" w:before="60"/>
      </w:pP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Estabilidade &amp; Planejamento</w:t>
      </w: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	57%</w:t>
      </w:r>
    </w:p>
    <w:tbl>
      <w:tblPr>
        <w:tblW w:type="dxa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2150"/>
      </w:tblGrid>
      <w:tr>
        <w:trPr>
          <w:trHeight w:val="130" w:hRule="atLeast"/>
        </w:trPr>
        <w:tc>
          <w:tcPr>
            <w:tcW w:type="dxa" w:w="2850"/>
            <w:tcBorders>
              <w:top w:val="none"/>
              <w:left w:val="none"/>
              <w:bottom w:val="none"/>
              <w:right w:val="none"/>
            </w:tcBorders>
            <w:shd w:fill="0A1F3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150"/>
            <w:tcBorders>
              <w:top w:val="none"/>
              <w:left w:val="none"/>
              <w:bottom w:val="none"/>
              <w:right w:val="none"/>
            </w:tcBorders>
            <w:shd w:fill="E7E9EC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15" w:before="30"/>
      </w:pPr>
      <w:r>
        <w:rPr>
          <w:rFonts w:ascii="Calibri" w:cs="Calibri" w:eastAsia="Calibri" w:hAnsi="Calibri"/>
          <w:i/>
          <w:iCs/>
          <w:color w:val="6B6B6B"/>
          <w:sz w:val="18"/>
          <w:szCs w:val="18"/>
        </w:rPr>
        <w:t xml:space="preserve">Paciente, confiável e persistente; facilidade em estruturar processos e manter a harmonia da equipe.</w:t>
      </w:r>
    </w:p>
    <w:p>
      <w:pPr>
        <w:tabs>
          <w:tab w:val="right" w:pos="5000"/>
        </w:tabs>
        <w:spacing w:after="25" w:before="60"/>
      </w:pP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Foco em Resultados</w:t>
      </w: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	53%</w:t>
      </w:r>
    </w:p>
    <w:tbl>
      <w:tblPr>
        <w:tblW w:type="dxa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50"/>
        <w:gridCol w:w="2350"/>
      </w:tblGrid>
      <w:tr>
        <w:trPr>
          <w:trHeight w:val="130" w:hRule="atLeast"/>
        </w:trPr>
        <w:tc>
          <w:tcPr>
            <w:tcW w:type="dxa" w:w="2650"/>
            <w:tcBorders>
              <w:top w:val="none"/>
              <w:left w:val="none"/>
              <w:bottom w:val="none"/>
              <w:right w:val="none"/>
            </w:tcBorders>
            <w:shd w:fill="0A1F3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50"/>
            <w:tcBorders>
              <w:top w:val="none"/>
              <w:left w:val="none"/>
              <w:bottom w:val="none"/>
              <w:right w:val="none"/>
            </w:tcBorders>
            <w:shd w:fill="E7E9EC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15" w:before="30"/>
      </w:pPr>
      <w:r>
        <w:rPr>
          <w:rFonts w:ascii="Calibri" w:cs="Calibri" w:eastAsia="Calibri" w:hAnsi="Calibri"/>
          <w:i/>
          <w:iCs/>
          <w:color w:val="6B6B6B"/>
          <w:sz w:val="18"/>
          <w:szCs w:val="18"/>
        </w:rPr>
        <w:t xml:space="preserve">Forte orientação a metas e desafios; decisão e direção na resolução de problemas e no fechamento de negócios.</w:t>
      </w:r>
    </w:p>
    <w:p>
      <w:pPr>
        <w:tabs>
          <w:tab w:val="right" w:pos="5000"/>
        </w:tabs>
        <w:spacing w:after="25" w:before="60"/>
      </w:pP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Qualidade &amp; Precisão</w:t>
      </w:r>
      <w:r>
        <w:rPr>
          <w:rFonts w:ascii="Calibri" w:cs="Calibri" w:eastAsia="Calibri" w:hAnsi="Calibri"/>
          <w:b/>
          <w:bCs/>
          <w:color w:val="0A1F3D"/>
          <w:sz w:val="20"/>
          <w:szCs w:val="20"/>
        </w:rPr>
        <w:t xml:space="preserve">	45%</w:t>
      </w:r>
    </w:p>
    <w:tbl>
      <w:tblPr>
        <w:tblW w:type="dxa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750"/>
      </w:tblGrid>
      <w:tr>
        <w:trPr>
          <w:trHeight w:val="130" w:hRule="atLeast"/>
        </w:trPr>
        <w:tc>
          <w:tcPr>
            <w:tcW w:type="dxa" w:w="2250"/>
            <w:tcBorders>
              <w:top w:val="none"/>
              <w:left w:val="none"/>
              <w:bottom w:val="none"/>
              <w:right w:val="none"/>
            </w:tcBorders>
            <w:shd w:fill="0A1F3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750"/>
            <w:tcBorders>
              <w:top w:val="none"/>
              <w:left w:val="none"/>
              <w:bottom w:val="none"/>
              <w:right w:val="none"/>
            </w:tcBorders>
            <w:shd w:fill="E7E9EC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15" w:before="30"/>
      </w:pPr>
      <w:r>
        <w:rPr>
          <w:rFonts w:ascii="Calibri" w:cs="Calibri" w:eastAsia="Calibri" w:hAnsi="Calibri"/>
          <w:i/>
          <w:iCs/>
          <w:color w:val="6B6B6B"/>
          <w:sz w:val="18"/>
          <w:szCs w:val="18"/>
        </w:rPr>
        <w:t xml:space="preserve">Valorização da organização, dos dados e da lógica; facilidade em lidar com indicadores e estratégias complexas.</w:t>
      </w:r>
    </w:p>
    <w:sectPr>
      <w:pgSz w:w="11906" w:h="16838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00" w:hanging="300"/>
      </w:pPr>
      <w:rPr>
        <w:rFonts w:ascii="Calibri" w:cs="Calibri" w:eastAsia="Calibri" w:hAnsi="Calibri"/>
        <w:color w:val="0A1F3D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2026-07-11T16:44:38.865Z</dcterms:created>
  <dcterms:modified xsi:type="dcterms:W3CDTF">2026-07-11T16:44:38.865Z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